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7B" w:rsidRPr="005E6A7B" w:rsidRDefault="005E6A7B" w:rsidP="005E6A7B">
      <w:pPr>
        <w:ind w:left="-426" w:right="-284"/>
        <w:jc w:val="right"/>
        <w:rPr>
          <w:rFonts w:ascii="Arial" w:hAnsi="Arial" w:cs="Arial"/>
          <w:b/>
          <w:bCs/>
          <w:sz w:val="16"/>
          <w:szCs w:val="16"/>
        </w:rPr>
      </w:pPr>
      <w:r w:rsidRPr="005E6A7B">
        <w:rPr>
          <w:rFonts w:ascii="Arial" w:hAnsi="Arial" w:cs="Arial"/>
          <w:b/>
          <w:bCs/>
          <w:sz w:val="16"/>
          <w:szCs w:val="16"/>
        </w:rPr>
        <w:t>załącznik nr 2 do SIWZ</w:t>
      </w:r>
    </w:p>
    <w:p w:rsidR="005E6A7B" w:rsidRPr="005E6A7B" w:rsidRDefault="005E6A7B" w:rsidP="005E6A7B">
      <w:pPr>
        <w:ind w:left="-426" w:right="-284"/>
        <w:jc w:val="right"/>
        <w:rPr>
          <w:rFonts w:ascii="Arial" w:hAnsi="Arial" w:cs="Arial"/>
          <w:b/>
          <w:bCs/>
          <w:sz w:val="18"/>
          <w:szCs w:val="18"/>
        </w:rPr>
      </w:pPr>
    </w:p>
    <w:p w:rsidR="00984B5D" w:rsidRPr="005E6A7B" w:rsidRDefault="005E6A7B" w:rsidP="005E6A7B">
      <w:pPr>
        <w:pStyle w:val="Tytu"/>
        <w:spacing w:line="240" w:lineRule="auto"/>
        <w:ind w:left="-426" w:right="-284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Szczegółowy opis przedmiotu zamówienia</w:t>
      </w:r>
    </w:p>
    <w:p w:rsidR="001A1762" w:rsidRPr="005E6A7B" w:rsidRDefault="001A1762" w:rsidP="00227862">
      <w:pPr>
        <w:pStyle w:val="Tytu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148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28"/>
        <w:gridCol w:w="3543"/>
        <w:gridCol w:w="2835"/>
      </w:tblGrid>
      <w:tr w:rsidR="005E6A7B" w:rsidRPr="005E6A7B" w:rsidTr="00B15AAB">
        <w:trPr>
          <w:trHeight w:val="71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pStyle w:val="Nagwek1"/>
              <w:rPr>
                <w:rFonts w:ascii="Arial" w:hAnsi="Arial" w:cs="Arial"/>
                <w:szCs w:val="18"/>
              </w:rPr>
            </w:pPr>
            <w:r w:rsidRPr="005E6A7B">
              <w:rPr>
                <w:rFonts w:ascii="Arial" w:hAnsi="Arial" w:cs="Arial"/>
                <w:szCs w:val="18"/>
              </w:rPr>
              <w:t>Opis parametru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Wartość wymagana/graniczna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Opis oferowanych przez Wykonawcę parametrów</w:t>
            </w:r>
          </w:p>
        </w:tc>
      </w:tr>
      <w:tr w:rsidR="005E6A7B" w:rsidRPr="005E6A7B" w:rsidTr="00B15AAB">
        <w:trPr>
          <w:trHeight w:val="27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4.</w:t>
            </w: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I. WYMAGANIA OGÓLNE</w:t>
            </w:r>
          </w:p>
        </w:tc>
      </w:tr>
      <w:tr w:rsidR="005E6A7B" w:rsidRPr="005E6A7B" w:rsidTr="005E6A7B">
        <w:trPr>
          <w:trHeight w:val="72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Tomograf nowy wyprodukowany w 2019 roku, nieużywany, nie rekondycjonowany, w najnowszej wersji sprzętowej i oprogramowania na dzień składania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Tomograf komputerowy całego ciała, umożliwiający uzyskanie min. 32 warstw badanego obszaru w czasie jednego pełnego obrotu układu lampa-detektor,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posiadający detektor minimum 16 rzędowy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</w:t>
            </w:r>
            <w:r w:rsidR="00926A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Szerokość detektora min. 18mm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18-19mm – 0 pkt</w:t>
            </w:r>
          </w:p>
          <w:p w:rsidR="005E6A7B" w:rsidRPr="005E6A7B" w:rsidRDefault="005E6A7B" w:rsidP="00926A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20 mm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A5B" w:rsidRPr="005E6A7B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E6A7B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6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Tomograf umożliwiający: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klatki piersiowej, kręgosłupa, jamy brzusznej i miednicy wraz z wielofazowymi badaniami narządów tych obszarów anatomicznych,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naczyń domózgowych, wewnątrzczaszkowych, dużych naczyń oraz naczyń obwodowych,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akwizycję submilimetrową niewielkich struktur anatomicznych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wielonarządowe w zakresie min. 140 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9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Certyfikaty i świadectwa dla tomografu komputerowego:</w:t>
            </w:r>
          </w:p>
          <w:p w:rsidR="005E6A7B" w:rsidRPr="005E6A7B" w:rsidRDefault="005E6A7B" w:rsidP="009C778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deklaracja zgodności dla oferowanego typu tomografu,</w:t>
            </w:r>
          </w:p>
          <w:p w:rsidR="005E6A7B" w:rsidRPr="005E6A7B" w:rsidRDefault="005E6A7B" w:rsidP="009C7781">
            <w:pPr>
              <w:pStyle w:val="AbsatzTableFormat"/>
              <w:snapToGrid w:val="0"/>
              <w:spacing w:line="240" w:lineRule="auto"/>
              <w:ind w:left="35"/>
              <w:rPr>
                <w:rFonts w:ascii="Arial" w:eastAsia="Times New Roman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II. GANTRY i STÓŁ</w:t>
            </w:r>
          </w:p>
        </w:tc>
      </w:tr>
      <w:tr w:rsidR="005E6A7B" w:rsidRPr="005E6A7B" w:rsidTr="005E6A7B">
        <w:trPr>
          <w:trHeight w:val="32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Średnica otworu gantry [cm]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Maksymalne obciążenie stołu z zachowaniem pr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ecyzji pozycjonowania ± 0,25mm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205 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205-220 kg – 0 pkt</w:t>
            </w:r>
          </w:p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&gt; 220 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Kamera do obserwacji zachowań pacjenta, z funkcją zbliżenia widoku (może być zamontowana z boku, mocowana w pomieszczeniu badań)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Wyposażenie stołu w: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materac,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podpórkę pod głowę pozbawioną elementów metalowych,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 xml:space="preserve">- pasy lub listwy unieruchamiające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Dwa wskaźniki zatrzymania oddechu wyposażone w liczniki czasu widoczne dla pacjenta podczas badania niezależnie od kierunku wprowadzenia pacjenta do gantry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 pozycjonowanie pacjenta do wybranego punktu (min</w:t>
            </w:r>
            <w:r w:rsidR="00926A5B">
              <w:rPr>
                <w:rFonts w:ascii="Arial" w:hAnsi="Arial" w:cs="Arial"/>
                <w:sz w:val="18"/>
                <w:szCs w:val="18"/>
              </w:rPr>
              <w:t>.</w:t>
            </w:r>
            <w:r w:rsidRPr="005E6A7B">
              <w:rPr>
                <w:rFonts w:ascii="Arial" w:hAnsi="Arial" w:cs="Arial"/>
                <w:sz w:val="18"/>
                <w:szCs w:val="18"/>
              </w:rPr>
              <w:t xml:space="preserve"> 3 jednoczasowe dostępne pozycje na gantry lub tablecie dotykowym)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III. </w:t>
            </w:r>
            <w:r w:rsidRPr="00B1656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sv-SE"/>
              </w:rPr>
              <w:t>GENERATOR I LAMPA RTG</w:t>
            </w:r>
          </w:p>
        </w:tc>
      </w:tr>
      <w:tr w:rsidR="005E6A7B" w:rsidRPr="005E6A7B" w:rsidTr="005E6A7B">
        <w:trPr>
          <w:trHeight w:val="47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Minimalne napięcie anody, możliwe do zastosowania w protokołach badań [kV]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Modulacja prądu anody w czasie rzeczywistym, jednocześnie w osiach x,y,z.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prąd lampy dostępny w protokole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350 mA - 399 mA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0 pkt</w:t>
            </w:r>
          </w:p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400 mA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C938AB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Maksymalne napięcie anody w protokole badania min. 140 kV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Rzeczywista pojemność cieplna anody lampy rtg [MHU]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Liczba ognisk lampy rtg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Powierzchnia małego ogniska lampy rtg [mm²] 0,4 – 0,5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podać: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0,40 – 6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0,42 – 5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0,44 – 4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0,46 – 3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0,48 – 2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0,50 – 1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Szybkość chłodzenia lampy min. 500 kHU/min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podać: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800-700 – 10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699-600 – 5 pkt</w:t>
            </w:r>
          </w:p>
          <w:p w:rsidR="005E6A7B" w:rsidRPr="005E6A7B" w:rsidRDefault="005E6A7B" w:rsidP="005B2D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599-500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Automatyczny wybór ognisk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Maksymalna moc generatora min. 40KW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C93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40-45 kW – 0 pkt</w:t>
            </w:r>
          </w:p>
          <w:p w:rsidR="005E6A7B" w:rsidRPr="005E6A7B" w:rsidRDefault="005E6A7B" w:rsidP="00C938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&gt; 45 kW 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C93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Odległość ognisko lampy rtg – detektor, max 100 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Tak, podać:</w:t>
            </w:r>
          </w:p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95 – 10 pkt</w:t>
            </w:r>
          </w:p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95-100cm 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IV. SYSTEM SKANOWANIA</w:t>
            </w: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Najkrótszy czas pełnego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obrotu (360º) układu lampa rtg – detektor [s]  </w:t>
            </w:r>
            <w:r w:rsidRPr="005E6A7B">
              <w:rPr>
                <w:rFonts w:ascii="Arial" w:hAnsi="Arial" w:cs="Arial"/>
                <w:sz w:val="18"/>
                <w:szCs w:val="18"/>
              </w:rPr>
              <w:t>≤ 0,8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0,6 - 0,8 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0,5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Grubość najcieńszej dostępnej warstwy  z akwizycji wielowarstowej z maksymalną ilością warstw [mm]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0,63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Liczba warstw akwizycyjnych powyżej 1 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 warstwy 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16 warstw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2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zakres badania przy ciągłym skanie spiralnym/helikalnym, bez przerwy na chłodzenie lampy [cm]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3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zakres zmian wartość współczynnika pitch min. 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≥1,5 – 1,74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≥1,75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Maksymalne, rekonstruowane pole obrazowania FOV [cm]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Możliwość rekonstrukcji diagnostycznego pola obrazowania powyżej 50 cm z zachowaniem pełnej jednorodności i dokładności gęstości jak w polu diagnostycznym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1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Matryca rekonstrukcyjna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Min. 512x512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1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Matryca prezentacyjna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Min. 1024x1024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Rozdzielczość wysokokontrastowa w płaszczyźnie x,y, mierzona w polu akwizycyjnym FOV=50 cm w punkcie 50% charakterystyki MTF.[pl/cm]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≥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możliwy czas badania w trybie spiralnym 120 [s]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Kolimacja wiązki zgodnie z polem skanowania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Niskodawkowy, iteracyjny algorytm rekonstrukcji bazujący na modelu z wielokrotnym przetwarzaniem tych samych danych surowych (RAW) oraz redukujący szum w obszarze obrazu, umożliwiający redukcję dawki o co najmniej 40% w relacji do standardowej metody rekonstrukcji wstecznej FBP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Rozwiązanie do redukcji promieniowania jonizującego, dedykowane do zwiększenia ochrony w trakcie badania szczególnie wrażliwych narządów np. oczu, tarczycy, piersi, itp.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V. KONSOLA OPERATORSKA</w:t>
            </w:r>
          </w:p>
        </w:tc>
      </w:tr>
      <w:tr w:rsidR="005E6A7B" w:rsidRPr="005E6A7B" w:rsidTr="005E6A7B">
        <w:trPr>
          <w:trHeight w:val="42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37.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Stanowisko operatorskie – konsola akwizycyjna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Jednomonitorowa – 0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Dwumonitorowa </w:t>
            </w:r>
            <w:r w:rsidR="00926A5B" w:rsidRPr="005E6A7B">
              <w:rPr>
                <w:rFonts w:ascii="Arial" w:hAnsi="Arial" w:cs="Arial"/>
                <w:sz w:val="18"/>
                <w:szCs w:val="18"/>
              </w:rPr>
              <w:t>–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Przekątna kolorowego monitora z aktywną matrycą ciekłokrystaliczną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19 "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19 " – 0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21 " – 1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39.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Możliwość wybrania i protokołu badania bezpośrednio przy stole pacjenta, z panelu dotykowego na gantry lub z tabletu.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9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250000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9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Bezpośrednia rekonstrukcja warstw MPR bez konieczności wstępnej rekonstrukcji cienkich warstw aksjalnych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4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Archiwizacja badań pacjentów na CD-R i DVD w standardzie DICOM 3.0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4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Dwukierunkowy interkom do komunikacji głosowej z pacjentem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43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Interfejs sieciowy zgodnie z DICOM 3.0 z następującymi klasami serwisowymi: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Send/Receive            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Basic Print                 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Query/ Retrieve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Storage Commitment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- Worklist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43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Integracja z oprogramowaniem PAKS szpitalnym (MEDICOM – szpital posiada licencję), koszty tylko dotyczące integracji po stronie Dostawcy urządzenia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09721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VI. OPROGRAMOWANIE KONSOLI OPERATORSKIEJ</w:t>
            </w: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46.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MIP (Maximum Intensity Projection)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47.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SSD (Surface Shaded Display)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VRT (Volume Rendering Techique)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7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Rekonstrukcje MPR (również skośne i krzywoliniowe z danych zbieranych przy dowolnym kącie gantry)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Prezentacje cine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51.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Pomiary geometryczne (długości / kątów / powierzchni / objętości)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Pomiary analityczne (pomiar poziomu gęstości, profile gęstości, analiza skanu dynamicznego)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autoSpaceDE w:val="0"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Obliczanie całkowitej dawki ekspozycyjnej (DLP lub CTDIvol), jaką uzyskał pacjent w trakcie badania i jej prezentacja na ekranie konsoli operatorskiej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28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Automatyczne, bez udziału operatora, ustawianie zakresu badania, dla danego pacjenta, na podstawie znaczników anatomicznych topogramu i wybranego protokołu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10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usuwające obraz struktury kostnej i stołu z pozostawieniem struktury naczyniowej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wirtualnej endoskopii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Sprzężenie tomografu ze wstrzykiwaczem kontrastu min kl I zgodnie z CanOpen 425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Kl.I i II – 0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Kl III – 5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Kl IV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81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sz w:val="18"/>
                <w:szCs w:val="18"/>
              </w:rPr>
              <w:t>VII. POZOSTAŁE WYMAGANIA</w:t>
            </w:r>
          </w:p>
        </w:tc>
      </w:tr>
      <w:tr w:rsidR="005E6A7B" w:rsidRPr="005E6A7B" w:rsidTr="005E6A7B">
        <w:trPr>
          <w:trHeight w:val="29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62.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Dwutłokowy wstrzykiwacz środka cieniującego zintegrowany z tomografem komputerowym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29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63.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Zestaw firmowych fantomów serwisowych do kalibracji i testów podstawowych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64.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Instrukcja obsługi aparatu TK w formie elektronicznej i papierowej oraz instrukcje obsługi urządzeń wyposażenia - w języku polskim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Dostarczyć wraz z dostawą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Moc podłączeniowa [kVA]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2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66.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Ilość ciepła emitowana do pomieszczenia badań w trakcie skanowania [kW]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9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Zakres temperatur pracy systemu [stopnie C]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Wykonanie testów akceptacyjnych po zainstalowaniu urządzenia – </w:t>
            </w:r>
            <w:r w:rsidRPr="005E6A7B">
              <w:rPr>
                <w:rFonts w:ascii="Arial" w:hAnsi="Arial" w:cs="Arial"/>
                <w:bCs/>
                <w:sz w:val="18"/>
                <w:szCs w:val="18"/>
              </w:rPr>
              <w:t>zawarte w cenie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Wykonawca dostarczy, zainstaluje system do archiwizacji i optymalizacji dawki promieniowania (wraz ze szkoleniem personelu Zamawiającego).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z licencjami bezterminowymi do monitorowania i raportowania poziomu dawek z tomografu komputerowego z możliwością podłączenia aparatu RTG, pozwalające na spełnienie dyrektywy EURATOM 2013/59 z 5 grudnia 2013 opisane w punktach poniżej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analizę statystyczną poziomu dawek – automatyczne powiadamianie w przypadku przekroczenia poziomu dopuszczalnych dawek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monitorowania i optymalizacji kontrastu umożliwiającą gromadzenie informacji dotyczącej zużycia kontrastu w badaniu oraz tworzące automatyczne raporty dotyczące np. skumulowanej dawki jodu dla danego pacjenta.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porównywanie dawek z tomografu z dawkami dla określonej populacji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przeglądanie historii dawki w rozbiciu na: pacjentów/regiony anatomiczne/rodzaje badań RTG/osobę przeprowadzającą badanie/zmiany pracy zespołu pracowni TK (np. poranna, popołudniowa, wieczorna itd.)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ostrzeżenie o przekroczeniu progu zdefiniowanej dawki, które jest: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a) wysyłane w czasie rzeczywistym w trakcie badania na adresy poczty elektronicznej wpisanej na listę mailingową oprogramowania.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b) możliwość wyjaśnienia przekroczenia dawki w formie komentarza również zapisywanego w archiwum.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c) zaawansowany system ostrzegania w podziale na segmenty według wieku/BMI/ itd. i możliwość korzystania z międzynarodowego leksykonu (np. RadLexicon), aby otrzymać znormalizowaną informację potrzebną do porównań.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wyliczenie SSDE (ang. Size-Specific Dose Estimate – szacunkowa wielkość dawki zależna od rozmiaru).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wyliczenie przesunięcia poza izocentrum, które umożliwia weryfikację prawidłowości ułożenia pacjenta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wyliczenie wartości modulacji mA. Modulacja mA wyświetla tłumienie natężenia prądu na całej długości skanowania. Wyliczenie powinno zawierć średnią mA, minimalną mA i maksymalną wartość mA w trakcie wybranej serii.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automatyczne sporządzanie raportów tygodniowych/ miesięcznych/ kwartalnych ze zgromadzonych danych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oszacowania dawki narządowej dla pacjentów pediatrycznych i dorosłych wraz z automatycznym wykrywaniem skanowanego obszaru i obliczeniem dawki przyjmowanej przez narządy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81.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oszacowania dawki dla płodu  przypadku badań kobiet w ciąży.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VIII. SZKOLENIA</w:t>
            </w: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Szkolenia w miejscu + min. 2 dni x 5 godzin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IX. </w:t>
            </w:r>
            <w:r w:rsidRPr="00B1656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GWARANCJA I SERWIS POGWARANCYJNY</w:t>
            </w:r>
          </w:p>
        </w:tc>
      </w:tr>
      <w:tr w:rsidR="005E6A7B" w:rsidRPr="005E6A7B" w:rsidTr="00B16566">
        <w:trPr>
          <w:trHeight w:val="52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pStyle w:val="Style9"/>
              <w:widowControl/>
              <w:spacing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Okres gwarancji od dnia podpisania protokołu zdawczo odbiorczego.</w:t>
            </w:r>
          </w:p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Gwarancja bezwarunkowa, bez limitu skanów i innych ograniczeń, co najmniej 24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Autoryzowany serwis gwarancyjny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Min. 10 – letni okres gwarantowania dostępności części zamiennych dla TK oraz min. 5 – letni dla pozostałych urządzeń i stanowisk pracy zaoferowanych w zestawie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ind w:left="211" w:right="2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ind w:left="211" w:right="2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Wszystkie wymagane przez producenta oferowanego aparatu przeglądy w okresie gwarancji (podać ile) – </w:t>
            </w:r>
            <w:r w:rsidRPr="005E6A7B">
              <w:rPr>
                <w:rFonts w:ascii="Arial" w:hAnsi="Arial" w:cs="Arial"/>
                <w:bCs/>
                <w:sz w:val="18"/>
                <w:szCs w:val="18"/>
              </w:rPr>
              <w:t>zawarte w cenie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Czas naprawy gwarancyjnej [dni robocze: od poniedziałku do piątku z wyłączeniem dni ustawowo wolnych pracy]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Max. 6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Czas reakcji serwisu od zgłoszenia do podjęcia naprawy [godziny w dni robocze :od poniedziałku do piątku z wyłączeniem dni ustawowo wolnych pracy]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Max. 24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ab/>
            </w:r>
            <w:r w:rsidRPr="00B165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  <w:lang w:eastAsia="ar-SA"/>
              </w:rPr>
              <w:t>X. KONSOLA LEKARSKA DWUMONITOROWA</w:t>
            </w: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Stacja przeglądowa 2D i 3D (MPR i VRT) z oprogramowaniem Osirix lub równoważnym tzn posiadającym co najmniej te same funkcjonalności użytkowe. –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lokalna baza obrazów medycznych: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baza danych oparta o „silnik” SQLite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zarządzanie dowolną ilością obrazów medycznych (przechowywanych lokalnie i zdalnie)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udostępnianie lokalnej bazy danych w sieci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import plików z dowolnego nośnika (CD, DVD, USB, sieć, serwery PACS)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eksport i zapis plików na dowolny nośnik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anonimizacja danych - usuwanie danych pacjenta z plików DICOM (np. do celów pokazowych)</w:t>
            </w:r>
          </w:p>
          <w:p w:rsidR="005E6A7B" w:rsidRPr="005E6A7B" w:rsidRDefault="005E6A7B" w:rsidP="00B650E6">
            <w:pPr>
              <w:pStyle w:val="Standard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° edycja metadanych - edycja danych zapisanych w plikach DICOM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Intuicyjny interfejs użytkownika – 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konfigurowalny pasek narzędzi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obrazów kluczowych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wsparcie dla myszy wieloklawiszowych i gestów np. Apple Magic Trackpad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tablic odwzorowania barwy (LUT/CLUT) i gęstości (WL/WH)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filtrów splotowych (3x3, 5x5)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° łączenie badań róznych obszarów (image registration)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przebudowa przekrojów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dowolna konfiguracja, zapisywanie i wczytywanie przestrzeni roboczych (Workspaces), np. dla różnego typu badań</w:t>
            </w:r>
          </w:p>
          <w:p w:rsidR="005E6A7B" w:rsidRPr="005E6A7B" w:rsidRDefault="005E6A7B" w:rsidP="007D5A0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wygodna praca na wielu monitorach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Rekonstrukcja 3D: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objętościowa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powierzchni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wielopłaszczyznowa (MPR)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zakrzywiona rekonstrukcja wielopłaszczyznowa (Curved MPR)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maksymalna/minimalna intensywność projekcji (MIP)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wirtualna endoskopia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tworzenie wycinków i przekrojów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separacja tkanek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oznaczanie różnymi barwami i przezroczystością organów i tkanek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przelot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eksport do różnych formatów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Architektura Plug-ins: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możliwość implementacji rozwiązań dostarczanych przez niezależnych producentów rozszerzających funkcje OsiriX’a (moduły dodatkowe, np. automatyzacja oceny zwapnienia naczyń wieńcowych, automatyzacja badań mammograficznych, ocena BI-RADS/PI-RADS,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angiografia, obsługa dodatkowych formatów zapisu obrazów medycznych, etc)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Inne: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optymalizacja dla procesorów wielordzeniowych, wielowątkowość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odczyt asynchroniczny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wsparcie OpenGL dla podglądu 2D i 3D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akceleracja GPU dla zadań obliczeniowych, wsparcie mapowania 3D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architektura wtyczek rozszerzających możliwości oprogramowania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wsparcie „hanging protocol” - aranżacja okien programu dla najlepszej oceny istotnych elementów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Dwa monitory medyczne przeznaczone do wyświetlania badań RTG/CT/MR o przekątnej nie mniej niż 21 cali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Rozdzielczość nie mniejsza niż 5120 na 2880 z możliwością wyświetlania miliarda kolorów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Jasność 500 nitów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t>Oświadczam, że oferowany sprzęt jest kompletny i po zainstalowaniu gotowy do eksploatacji, bez żadnych dodatkowych zakupów i inwestycji (z wyjątkiem materiałów eksploatacyjnych).</w:t>
      </w: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trike/>
          <w:sz w:val="18"/>
          <w:szCs w:val="18"/>
          <w:lang w:val="pl-PL" w:eastAsia="ar-SA"/>
        </w:rPr>
      </w:pP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t>Wykonawca w cenie oferty zapewnia: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serwis w okresie gwarancji,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przedłużenie gwarancji o każdą konieczność zatrzymania przedmiotu zamówienia w serwisie ponad 24 godz.,</w:t>
      </w:r>
    </w:p>
    <w:p w:rsidR="005E6A7B" w:rsidRPr="005E6A7B" w:rsidRDefault="005E6A7B" w:rsidP="005E6A7B">
      <w:pPr>
        <w:pStyle w:val="normaltableau"/>
        <w:numPr>
          <w:ilvl w:val="0"/>
          <w:numId w:val="8"/>
        </w:numPr>
        <w:tabs>
          <w:tab w:val="clear" w:pos="720"/>
          <w:tab w:val="num" w:pos="-426"/>
        </w:tabs>
        <w:suppressAutoHyphens/>
        <w:spacing w:before="0" w:after="0" w:line="360" w:lineRule="auto"/>
        <w:ind w:left="-284" w:right="-284" w:firstLine="0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lastRenderedPageBreak/>
        <w:t>w okresie gwarancji przeglądy gwarancyjne wymagane i zalecane przez producenta oferowanego przedmiotu zamówienia,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przeprowadzenie szkolenia personelu medycznego w zakresie obsługi w siedzibie Zamawiającego,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 xml:space="preserve">instrukcję obsługi urządzenia w języku polskim wraz z dostawą sprzętu. </w:t>
      </w:r>
    </w:p>
    <w:p w:rsidR="005E6A7B" w:rsidRPr="005E6A7B" w:rsidRDefault="005E6A7B" w:rsidP="005E6A7B">
      <w:pPr>
        <w:spacing w:line="360" w:lineRule="auto"/>
        <w:ind w:left="-284" w:right="-284"/>
        <w:jc w:val="both"/>
        <w:rPr>
          <w:rFonts w:ascii="Arial" w:hAnsi="Arial" w:cs="Arial"/>
          <w:strike/>
          <w:sz w:val="18"/>
          <w:szCs w:val="18"/>
        </w:rPr>
      </w:pPr>
    </w:p>
    <w:p w:rsidR="005E6A7B" w:rsidRPr="005E6A7B" w:rsidRDefault="005E6A7B" w:rsidP="005E6A7B">
      <w:pPr>
        <w:pStyle w:val="Tekstpodstawowy"/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Wykonawca nie ma prawa zakładać kodów serwisowych/administracyjnych uniemożliwiających serwisowanie urządzenia po okresie gwarancji serwisowi innemu niż autoryzowany.</w:t>
      </w:r>
    </w:p>
    <w:p w:rsidR="005E6A7B" w:rsidRPr="005E6A7B" w:rsidRDefault="005E6A7B" w:rsidP="005E6A7B">
      <w:pPr>
        <w:pStyle w:val="Tekstpodstawowy"/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 xml:space="preserve">W przypadku założonych kodów serwisowych Wykonawca zobowiązany jest je złożyć w zalakowanej kopercie w dniu dostawy sprzętu. </w:t>
      </w:r>
    </w:p>
    <w:p w:rsidR="005E6A7B" w:rsidRPr="005E6A7B" w:rsidRDefault="005E6A7B" w:rsidP="005E6A7B">
      <w:pPr>
        <w:ind w:left="-284" w:right="-284"/>
        <w:jc w:val="both"/>
        <w:rPr>
          <w:rFonts w:ascii="Arial" w:hAnsi="Arial" w:cs="Arial"/>
          <w:color w:val="0070C0"/>
          <w:sz w:val="18"/>
          <w:szCs w:val="18"/>
        </w:rPr>
      </w:pPr>
    </w:p>
    <w:p w:rsidR="005E6A7B" w:rsidRPr="005E6A7B" w:rsidRDefault="005E6A7B" w:rsidP="005E6A7B">
      <w:pPr>
        <w:ind w:left="-284" w:right="-284"/>
        <w:jc w:val="both"/>
        <w:rPr>
          <w:rFonts w:ascii="Arial" w:hAnsi="Arial" w:cs="Arial"/>
          <w:color w:val="0070C0"/>
          <w:sz w:val="18"/>
          <w:szCs w:val="18"/>
        </w:rPr>
      </w:pPr>
    </w:p>
    <w:p w:rsidR="005E6A7B" w:rsidRPr="005E6A7B" w:rsidRDefault="005E6A7B" w:rsidP="005E6A7B">
      <w:pPr>
        <w:keepLines/>
        <w:ind w:left="-284" w:right="-284"/>
        <w:textAlignment w:val="baseline"/>
        <w:rPr>
          <w:rFonts w:ascii="Arial" w:hAnsi="Arial" w:cs="Arial"/>
          <w:sz w:val="18"/>
          <w:szCs w:val="18"/>
        </w:rPr>
      </w:pPr>
      <w:bookmarkStart w:id="1" w:name="_PictureBullets"/>
      <w:r w:rsidRPr="005E6A7B">
        <w:rPr>
          <w:rFonts w:ascii="Arial" w:hAnsi="Arial" w:cs="Arial"/>
          <w:sz w:val="18"/>
          <w:szCs w:val="18"/>
        </w:rPr>
        <w:t>........................ dnia …….........                                                                                                                  ………………………………………………………………………</w:t>
      </w:r>
    </w:p>
    <w:p w:rsidR="005E6A7B" w:rsidRPr="005E6A7B" w:rsidRDefault="005E6A7B" w:rsidP="005E6A7B">
      <w:pPr>
        <w:keepLines/>
        <w:ind w:left="7938" w:right="822"/>
        <w:jc w:val="center"/>
        <w:textAlignment w:val="baseline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podpis osoby/osób wskazanych w dokumencie,</w:t>
      </w:r>
    </w:p>
    <w:p w:rsidR="005E6A7B" w:rsidRPr="005E6A7B" w:rsidRDefault="005E6A7B" w:rsidP="005E6A7B">
      <w:pPr>
        <w:keepLines/>
        <w:ind w:left="7938" w:right="822"/>
        <w:jc w:val="center"/>
        <w:textAlignment w:val="baseline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uprawnionej/uprawnionych do występowania w obrocie prawnym,</w:t>
      </w:r>
    </w:p>
    <w:p w:rsidR="005E6A7B" w:rsidRPr="005E6A7B" w:rsidRDefault="005E6A7B" w:rsidP="005E6A7B">
      <w:pPr>
        <w:keepNext/>
        <w:keepLines/>
        <w:ind w:left="7938" w:right="822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reprezentowania Wykonawcy i składania oświadczeń woli w jego imieniu</w:t>
      </w:r>
      <w:r w:rsidRPr="005E6A7B">
        <w:rPr>
          <w:rFonts w:ascii="Arial" w:hAnsi="Arial" w:cs="Arial"/>
          <w:noProof/>
          <w:vanish/>
          <w:sz w:val="16"/>
          <w:szCs w:val="16"/>
        </w:rPr>
        <w:t xml:space="preserve"> </w:t>
      </w:r>
      <w:r w:rsidRPr="005E6A7B">
        <w:rPr>
          <w:rFonts w:ascii="Arial" w:hAnsi="Arial" w:cs="Arial"/>
          <w:noProof/>
          <w:vanish/>
          <w:sz w:val="16"/>
          <w:szCs w:val="16"/>
        </w:rPr>
        <w:drawing>
          <wp:inline distT="0" distB="0" distL="0" distR="0" wp14:anchorId="78128664" wp14:editId="79BA99F8">
            <wp:extent cx="66675" cy="114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7B" w:rsidRPr="005E6A7B" w:rsidRDefault="005E6A7B" w:rsidP="005E6A7B">
      <w:pPr>
        <w:keepNext/>
        <w:keepLines/>
        <w:ind w:left="4678" w:right="-726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noProof/>
          <w:vanish/>
          <w:sz w:val="18"/>
          <w:szCs w:val="18"/>
        </w:rPr>
        <w:drawing>
          <wp:inline distT="0" distB="0" distL="0" distR="0" wp14:anchorId="06B1B1D0" wp14:editId="69FF2FA2">
            <wp:extent cx="66675" cy="114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E6A7B" w:rsidRPr="005E6A7B" w:rsidRDefault="005E6A7B" w:rsidP="005E6A7B">
      <w:pPr>
        <w:rPr>
          <w:rFonts w:ascii="Arial" w:hAnsi="Arial" w:cs="Arial"/>
          <w:sz w:val="18"/>
          <w:szCs w:val="18"/>
        </w:rPr>
      </w:pPr>
    </w:p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E3BAD" w:rsidRPr="005E6A7B" w:rsidRDefault="005E3BAD" w:rsidP="00227862">
      <w:pPr>
        <w:rPr>
          <w:rFonts w:ascii="Arial" w:hAnsi="Arial" w:cs="Arial"/>
          <w:sz w:val="18"/>
          <w:szCs w:val="18"/>
        </w:rPr>
      </w:pPr>
    </w:p>
    <w:p w:rsidR="005E6A7B" w:rsidRPr="005E6A7B" w:rsidRDefault="005E6A7B" w:rsidP="00227862">
      <w:pPr>
        <w:rPr>
          <w:rFonts w:ascii="Arial" w:hAnsi="Arial" w:cs="Arial"/>
          <w:sz w:val="18"/>
          <w:szCs w:val="18"/>
        </w:rPr>
      </w:pPr>
    </w:p>
    <w:p w:rsidR="005E6A7B" w:rsidRPr="005E6A7B" w:rsidRDefault="005E6A7B" w:rsidP="00227862">
      <w:pPr>
        <w:rPr>
          <w:rFonts w:ascii="Arial" w:hAnsi="Arial" w:cs="Arial"/>
          <w:sz w:val="18"/>
          <w:szCs w:val="18"/>
        </w:rPr>
      </w:pPr>
    </w:p>
    <w:p w:rsidR="00991C20" w:rsidRPr="005E6A7B" w:rsidRDefault="00991C20" w:rsidP="00227862">
      <w:pPr>
        <w:rPr>
          <w:rFonts w:ascii="Arial" w:hAnsi="Arial" w:cs="Arial"/>
          <w:sz w:val="18"/>
          <w:szCs w:val="18"/>
        </w:rPr>
      </w:pPr>
    </w:p>
    <w:sectPr w:rsidR="00991C20" w:rsidRPr="005E6A7B" w:rsidSect="00B650E6">
      <w:pgSz w:w="16840" w:h="11900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8F" w:rsidRDefault="00823D8F" w:rsidP="004A72EF">
      <w:r>
        <w:separator/>
      </w:r>
    </w:p>
  </w:endnote>
  <w:endnote w:type="continuationSeparator" w:id="0">
    <w:p w:rsidR="00823D8F" w:rsidRDefault="00823D8F" w:rsidP="004A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8F" w:rsidRDefault="00823D8F" w:rsidP="004A72EF">
      <w:r>
        <w:separator/>
      </w:r>
    </w:p>
  </w:footnote>
  <w:footnote w:type="continuationSeparator" w:id="0">
    <w:p w:rsidR="00823D8F" w:rsidRDefault="00823D8F" w:rsidP="004A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4B02D4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" w15:restartNumberingAfterBreak="0">
    <w:nsid w:val="040A34D5"/>
    <w:multiLevelType w:val="multilevel"/>
    <w:tmpl w:val="06F8D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F2F5B"/>
    <w:multiLevelType w:val="hybridMultilevel"/>
    <w:tmpl w:val="0D609266"/>
    <w:lvl w:ilvl="0" w:tplc="1A2669C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C2CB7"/>
    <w:multiLevelType w:val="multilevel"/>
    <w:tmpl w:val="6C686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01500"/>
    <w:multiLevelType w:val="multilevel"/>
    <w:tmpl w:val="87D8F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86084"/>
    <w:multiLevelType w:val="multilevel"/>
    <w:tmpl w:val="F636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00291"/>
    <w:multiLevelType w:val="multilevel"/>
    <w:tmpl w:val="33C8C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D338F"/>
    <w:multiLevelType w:val="multilevel"/>
    <w:tmpl w:val="68420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5D"/>
    <w:rsid w:val="00081C34"/>
    <w:rsid w:val="0009721D"/>
    <w:rsid w:val="001A1762"/>
    <w:rsid w:val="00227862"/>
    <w:rsid w:val="004A72EF"/>
    <w:rsid w:val="005B2D97"/>
    <w:rsid w:val="005E3BAD"/>
    <w:rsid w:val="005E6A7B"/>
    <w:rsid w:val="00626436"/>
    <w:rsid w:val="0069086B"/>
    <w:rsid w:val="007026AF"/>
    <w:rsid w:val="00746415"/>
    <w:rsid w:val="0076161E"/>
    <w:rsid w:val="007D5A01"/>
    <w:rsid w:val="00823D8F"/>
    <w:rsid w:val="00833E8C"/>
    <w:rsid w:val="008A279D"/>
    <w:rsid w:val="00926A5B"/>
    <w:rsid w:val="00984B5D"/>
    <w:rsid w:val="00991C20"/>
    <w:rsid w:val="009C7781"/>
    <w:rsid w:val="00A63FF5"/>
    <w:rsid w:val="00AB3B78"/>
    <w:rsid w:val="00B15AAB"/>
    <w:rsid w:val="00B16566"/>
    <w:rsid w:val="00B650E6"/>
    <w:rsid w:val="00BF0268"/>
    <w:rsid w:val="00C86057"/>
    <w:rsid w:val="00C938AB"/>
    <w:rsid w:val="00D47954"/>
    <w:rsid w:val="00D7652F"/>
    <w:rsid w:val="00E76A58"/>
    <w:rsid w:val="00E860A0"/>
    <w:rsid w:val="00E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B5FD1-1B96-47F9-B400-BA661C2D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B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4B5D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4B5D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Tytu">
    <w:name w:val="Title"/>
    <w:basedOn w:val="Normalny"/>
    <w:link w:val="TytuZnak"/>
    <w:qFormat/>
    <w:rsid w:val="00984B5D"/>
    <w:pPr>
      <w:shd w:val="clear" w:color="auto" w:fill="FFFFFF"/>
      <w:suppressAutoHyphens/>
      <w:spacing w:line="254" w:lineRule="exact"/>
      <w:ind w:right="883"/>
      <w:jc w:val="center"/>
    </w:pPr>
    <w:rPr>
      <w:rFonts w:ascii="Arial Narrow" w:hAnsi="Arial Narrow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984B5D"/>
    <w:rPr>
      <w:rFonts w:ascii="Arial Narrow" w:eastAsia="Times New Roman" w:hAnsi="Arial Narrow" w:cs="Times New Roman"/>
      <w:b/>
      <w:bCs/>
      <w:color w:val="000000"/>
      <w:sz w:val="26"/>
      <w:szCs w:val="28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984B5D"/>
    <w:pPr>
      <w:widowControl w:val="0"/>
      <w:suppressLineNumbers/>
      <w:suppressAutoHyphens/>
    </w:pPr>
    <w:rPr>
      <w:lang w:eastAsia="ar-SA"/>
    </w:rPr>
  </w:style>
  <w:style w:type="paragraph" w:customStyle="1" w:styleId="AbsatzTableFormat">
    <w:name w:val="AbsatzTableFormat"/>
    <w:basedOn w:val="Normalny"/>
    <w:rsid w:val="00984B5D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paragraph" w:customStyle="1" w:styleId="Style9">
    <w:name w:val="Style9"/>
    <w:basedOn w:val="Normalny"/>
    <w:rsid w:val="00984B5D"/>
    <w:pPr>
      <w:widowControl w:val="0"/>
      <w:autoSpaceDE w:val="0"/>
      <w:autoSpaceDN w:val="0"/>
      <w:spacing w:line="184" w:lineRule="exact"/>
    </w:pPr>
    <w:rPr>
      <w:lang w:val="en-US"/>
    </w:rPr>
  </w:style>
  <w:style w:type="paragraph" w:customStyle="1" w:styleId="Standard">
    <w:name w:val="Standard"/>
    <w:rsid w:val="00984B5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4A7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2E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2EF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6A7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A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5E6A7B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F3F0-7900-4CCA-9A56-78A12B89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2244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KCZ</Company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tjanyk_adm</dc:creator>
  <cp:lastModifiedBy>Agnieszka </cp:lastModifiedBy>
  <cp:revision>4</cp:revision>
  <dcterms:created xsi:type="dcterms:W3CDTF">2019-07-24T10:55:00Z</dcterms:created>
  <dcterms:modified xsi:type="dcterms:W3CDTF">2019-07-24T11:17:00Z</dcterms:modified>
</cp:coreProperties>
</file>