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7B" w:rsidRPr="005E6A7B" w:rsidRDefault="005E6A7B" w:rsidP="005E6A7B">
      <w:pPr>
        <w:ind w:left="-426" w:right="-284"/>
        <w:jc w:val="right"/>
        <w:rPr>
          <w:rFonts w:ascii="Arial" w:hAnsi="Arial" w:cs="Arial"/>
          <w:b/>
          <w:bCs/>
          <w:sz w:val="16"/>
          <w:szCs w:val="16"/>
        </w:rPr>
      </w:pPr>
      <w:r w:rsidRPr="005E6A7B">
        <w:rPr>
          <w:rFonts w:ascii="Arial" w:hAnsi="Arial" w:cs="Arial"/>
          <w:b/>
          <w:bCs/>
          <w:sz w:val="16"/>
          <w:szCs w:val="16"/>
        </w:rPr>
        <w:t>załącznik nr 2 do SIWZ</w:t>
      </w:r>
    </w:p>
    <w:p w:rsidR="005E6A7B" w:rsidRPr="005E6A7B" w:rsidRDefault="005E6A7B" w:rsidP="005E6A7B">
      <w:pPr>
        <w:ind w:left="-426" w:right="-284"/>
        <w:jc w:val="right"/>
        <w:rPr>
          <w:rFonts w:ascii="Arial" w:hAnsi="Arial" w:cs="Arial"/>
          <w:b/>
          <w:bCs/>
          <w:sz w:val="18"/>
          <w:szCs w:val="18"/>
        </w:rPr>
      </w:pPr>
    </w:p>
    <w:p w:rsidR="00984B5D" w:rsidRPr="005E6A7B" w:rsidRDefault="005E6A7B" w:rsidP="005E6A7B">
      <w:pPr>
        <w:pStyle w:val="Tytu"/>
        <w:spacing w:line="240" w:lineRule="auto"/>
        <w:ind w:left="-426" w:right="-284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Szczegółowy opis przedmiotu zamówienia</w:t>
      </w:r>
    </w:p>
    <w:p w:rsidR="001A1762" w:rsidRPr="005E6A7B" w:rsidRDefault="001A1762" w:rsidP="00227862">
      <w:pPr>
        <w:pStyle w:val="Tytu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148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28"/>
        <w:gridCol w:w="3543"/>
        <w:gridCol w:w="2835"/>
      </w:tblGrid>
      <w:tr w:rsidR="005E6A7B" w:rsidRPr="005E6A7B" w:rsidTr="00B15AAB">
        <w:trPr>
          <w:trHeight w:val="71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pStyle w:val="Nagwek1"/>
              <w:rPr>
                <w:rFonts w:ascii="Arial" w:hAnsi="Arial" w:cs="Arial"/>
                <w:szCs w:val="18"/>
              </w:rPr>
            </w:pPr>
            <w:r w:rsidRPr="005E6A7B">
              <w:rPr>
                <w:rFonts w:ascii="Arial" w:hAnsi="Arial" w:cs="Arial"/>
                <w:szCs w:val="18"/>
              </w:rPr>
              <w:t>Opis parametru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Wartość wymagana/graniczna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Opis oferowanych przez Wykonawcę parametrów</w:t>
            </w:r>
          </w:p>
        </w:tc>
      </w:tr>
      <w:tr w:rsidR="005E6A7B" w:rsidRPr="005E6A7B" w:rsidTr="00B15AAB">
        <w:trPr>
          <w:trHeight w:val="27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4.</w:t>
            </w: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I. WYMAGANIA OGÓLNE</w:t>
            </w:r>
          </w:p>
        </w:tc>
      </w:tr>
      <w:tr w:rsidR="005E6A7B" w:rsidRPr="005E6A7B" w:rsidTr="005E6A7B">
        <w:trPr>
          <w:trHeight w:val="72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Tomograf nowy wyprodukowany w 2019 roku, nieużywany, nie rekondycjonowany, w najnowszej wersji sprzętowej i oprogramowania na dzień składania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DB3DD5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Tomograf komputerowy całego ciała, umożliwiający uzyskanie min. 32 warstw badanego obszaru w czasie jednego pełnego obrotu układu lampa-detektor,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posiadający detektor minimum 16 rzędowy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  <w:p w:rsidR="00DB3DD5" w:rsidRPr="00D60230" w:rsidRDefault="00DB3DD5" w:rsidP="00DB3DD5">
            <w:pPr>
              <w:keepNext/>
              <w:keepLines/>
              <w:ind w:left="35" w:right="-85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60230">
              <w:rPr>
                <w:rFonts w:ascii="Arial" w:hAnsi="Arial" w:cs="Arial"/>
                <w:sz w:val="18"/>
                <w:szCs w:val="18"/>
                <w:highlight w:val="yellow"/>
              </w:rPr>
              <w:t>32 warstwy – 0 pkt</w:t>
            </w:r>
          </w:p>
          <w:p w:rsidR="00DB3DD5" w:rsidRPr="005E6A7B" w:rsidRDefault="00DB3DD5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230">
              <w:rPr>
                <w:rFonts w:ascii="Arial" w:hAnsi="Arial" w:cs="Arial"/>
                <w:sz w:val="18"/>
                <w:szCs w:val="18"/>
                <w:highlight w:val="yellow"/>
              </w:rPr>
              <w:t>&gt; 32 warstwy – 10 pkt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</w:t>
            </w:r>
            <w:r w:rsidR="00926A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Szerokość detektora min. 18mm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18-19mm – 0 pkt</w:t>
            </w:r>
          </w:p>
          <w:p w:rsidR="005E6A7B" w:rsidRPr="005E6A7B" w:rsidRDefault="005E6A7B" w:rsidP="00926A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20 mm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6A5B" w:rsidRPr="005E6A7B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5E6A7B">
              <w:rPr>
                <w:rFonts w:ascii="Arial" w:hAnsi="Arial" w:cs="Arial"/>
                <w:sz w:val="18"/>
                <w:szCs w:val="18"/>
              </w:rPr>
              <w:t>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16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Tomograf umożliwiający: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badania klatki piersiowej, kręgosłupa, jamy brzusznej i miednicy wraz z wielofazowymi badaniami narządów tych obszarów anatomicznych,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badania naczyń domózgowych, wewnątrzczaszkowych, dużych naczyń oraz naczyń obwodowych,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akwizycję submilimetrową niewielkich struktur anatomicznych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badania wielonarządowe w zakresie min. 140 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9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Certyfikaty i świadectwa dla tomografu komputerowego:</w:t>
            </w:r>
          </w:p>
          <w:p w:rsidR="005E6A7B" w:rsidRPr="005E6A7B" w:rsidRDefault="005E6A7B" w:rsidP="009C778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deklaracja zgodności dla oferowanego typu tomografu,</w:t>
            </w:r>
          </w:p>
          <w:p w:rsidR="005E6A7B" w:rsidRPr="005E6A7B" w:rsidRDefault="005E6A7B" w:rsidP="009C7781">
            <w:pPr>
              <w:pStyle w:val="AbsatzTableFormat"/>
              <w:snapToGrid w:val="0"/>
              <w:spacing w:line="240" w:lineRule="auto"/>
              <w:ind w:left="35"/>
              <w:rPr>
                <w:rFonts w:ascii="Arial" w:eastAsia="Times New Roman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eastAsia="pl-PL"/>
              </w:rPr>
              <w:t>- zgłoszenie do rejestru wyrobów medycznych oferowanego typu tomografu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II. GANTRY i STÓŁ</w:t>
            </w:r>
          </w:p>
        </w:tc>
      </w:tr>
      <w:tr w:rsidR="005E6A7B" w:rsidRPr="005E6A7B" w:rsidTr="005E6A7B">
        <w:trPr>
          <w:trHeight w:val="32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Średnica otworu gantry [cm]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Maksymalne obciążenie stołu z zachowaniem pr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ecyzji pozycjonowania ± 0,25mm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205 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205-220 kg – 0 pkt</w:t>
            </w:r>
          </w:p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&gt; 220 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Kamera do obserwacji zachowań pacjenta, z funkcją zbliżenia widoku (może być zamontowana z boku, mocowana w pomieszczeniu badań)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F026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F026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Wyposażenie stołu w:</w:t>
            </w:r>
          </w:p>
          <w:p w:rsidR="005E6A7B" w:rsidRPr="005E6A7B" w:rsidRDefault="005E6A7B" w:rsidP="00926A5B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materac,</w:t>
            </w:r>
          </w:p>
          <w:p w:rsidR="005E6A7B" w:rsidRPr="005E6A7B" w:rsidRDefault="005E6A7B" w:rsidP="00926A5B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podpórkę pod głowę pozbawioną elementów metalowych,</w:t>
            </w:r>
          </w:p>
          <w:p w:rsidR="005E6A7B" w:rsidRPr="005E6A7B" w:rsidRDefault="005E6A7B" w:rsidP="00926A5B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 xml:space="preserve">- pasy lub listwy unieruchamiające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Dwa wskaźniki zatrzymania oddechu wyposażone w liczniki czasu widoczne dla pacjenta podczas badania niezależnie od kierunku wprowadzenia pacjenta do gantry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Automatyczne pozycjonowanie pacjenta do wybranego punktu (min</w:t>
            </w:r>
            <w:r w:rsidR="00926A5B">
              <w:rPr>
                <w:rFonts w:ascii="Arial" w:hAnsi="Arial" w:cs="Arial"/>
                <w:sz w:val="18"/>
                <w:szCs w:val="18"/>
              </w:rPr>
              <w:t>.</w:t>
            </w:r>
            <w:r w:rsidRPr="005E6A7B">
              <w:rPr>
                <w:rFonts w:ascii="Arial" w:hAnsi="Arial" w:cs="Arial"/>
                <w:sz w:val="18"/>
                <w:szCs w:val="18"/>
              </w:rPr>
              <w:t xml:space="preserve"> 3 jednoczasowe dostępne pozycje na gantry lub tablecie dotykowym)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5AAB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III. </w:t>
            </w:r>
            <w:r w:rsidRPr="00B1656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sv-SE"/>
              </w:rPr>
              <w:t>GENERATOR I LAMPA RTG</w:t>
            </w:r>
          </w:p>
        </w:tc>
      </w:tr>
      <w:tr w:rsidR="005E6A7B" w:rsidRPr="005E6A7B" w:rsidTr="005E6A7B">
        <w:trPr>
          <w:trHeight w:val="47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Minimalne napięcie anody, możliwe do zastosowania w protokołach badań [kV]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Modulacja prądu anody w czasie rzeczywistym, jednocześnie w osiach x,y,z.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prąd lampy dostępny w protokole badania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350 mA - 399 mA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0 pkt</w:t>
            </w:r>
          </w:p>
          <w:p w:rsidR="005E6A7B" w:rsidRPr="005E6A7B" w:rsidRDefault="005E6A7B" w:rsidP="00BF026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400 mA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C938AB">
            <w:pPr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Maksymalne napięcie anody w protokole badania min. </w:t>
            </w:r>
            <w:r w:rsidRPr="00DB3DD5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  <w:r w:rsidR="00DB3DD5" w:rsidRPr="00DB3DD5">
              <w:rPr>
                <w:rFonts w:ascii="Arial" w:hAnsi="Arial" w:cs="Arial"/>
                <w:sz w:val="18"/>
                <w:szCs w:val="18"/>
                <w:highlight w:val="yellow"/>
              </w:rPr>
              <w:t>3</w:t>
            </w:r>
            <w:r w:rsidRPr="00DB3DD5">
              <w:rPr>
                <w:rFonts w:ascii="Arial" w:hAnsi="Arial" w:cs="Arial"/>
                <w:sz w:val="18"/>
                <w:szCs w:val="18"/>
                <w:highlight w:val="yellow"/>
              </w:rPr>
              <w:t>0 kV</w:t>
            </w:r>
            <w:r w:rsidRPr="005E6A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Rzeczywista pojemność cieplna anody lampy rtg [MHU]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DD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≥ </w:t>
            </w:r>
            <w:r w:rsidR="00DB3DD5" w:rsidRPr="00DB3DD5">
              <w:rPr>
                <w:rFonts w:ascii="Arial" w:hAnsi="Arial" w:cs="Arial"/>
                <w:sz w:val="18"/>
                <w:szCs w:val="18"/>
                <w:highlight w:val="yellow"/>
              </w:rPr>
              <w:t>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Liczba ognisk lampy rtg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Powierzchnia małego ogniska lampy rtg [mm²] 0,4 – 0,5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podać:</w:t>
            </w:r>
          </w:p>
          <w:p w:rsidR="005E6A7B" w:rsidRPr="005E6A7B" w:rsidRDefault="00DB3DD5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3DD5">
              <w:rPr>
                <w:rFonts w:ascii="Arial" w:hAnsi="Arial" w:cs="Arial"/>
                <w:sz w:val="18"/>
                <w:szCs w:val="18"/>
                <w:highlight w:val="yellow"/>
              </w:rPr>
              <w:t>≤</w:t>
            </w:r>
            <w:r w:rsidRPr="00DB3D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6A7B" w:rsidRPr="005E6A7B">
              <w:rPr>
                <w:rFonts w:ascii="Arial" w:hAnsi="Arial" w:cs="Arial"/>
                <w:sz w:val="18"/>
                <w:szCs w:val="18"/>
              </w:rPr>
              <w:t>0,40 – 6 pkt</w:t>
            </w:r>
          </w:p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0,42 – 5 pkt</w:t>
            </w:r>
          </w:p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0,44 – 4 pkt</w:t>
            </w:r>
          </w:p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0,46 – 3 pkt</w:t>
            </w:r>
          </w:p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0,48 – 2 pkt</w:t>
            </w:r>
          </w:p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0,50 – 1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Szybkość chłodzenia lampy min. 500 kHU/min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podać: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800-700 – 10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699-600 – 5 pkt</w:t>
            </w:r>
          </w:p>
          <w:p w:rsidR="005E6A7B" w:rsidRPr="005E6A7B" w:rsidRDefault="005E6A7B" w:rsidP="005B2D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599-500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Automatyczny wybór ognisk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Maksymalna moc generatora min. 40KW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C93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40-45 kW – 0 pkt</w:t>
            </w:r>
          </w:p>
          <w:p w:rsidR="005E6A7B" w:rsidRPr="005E6A7B" w:rsidRDefault="005E6A7B" w:rsidP="00C938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&gt; 45 kW 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C93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0645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Odległość ognisko lampy rtg – detektor, max </w:t>
            </w:r>
            <w:r w:rsidRPr="0050645C">
              <w:rPr>
                <w:rFonts w:ascii="Arial" w:hAnsi="Arial" w:cs="Arial"/>
                <w:sz w:val="18"/>
                <w:szCs w:val="18"/>
                <w:highlight w:val="yellow"/>
              </w:rPr>
              <w:t>10</w:t>
            </w:r>
            <w:r w:rsidR="0050645C" w:rsidRPr="0050645C">
              <w:rPr>
                <w:rFonts w:ascii="Arial" w:hAnsi="Arial" w:cs="Arial"/>
                <w:sz w:val="18"/>
                <w:szCs w:val="18"/>
                <w:highlight w:val="yellow"/>
              </w:rPr>
              <w:t>4</w:t>
            </w:r>
            <w:r w:rsidRPr="0050645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Tak, podać:</w:t>
            </w:r>
          </w:p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95 – 10 pkt</w:t>
            </w:r>
          </w:p>
          <w:p w:rsid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95-100cm – 5 pkt</w:t>
            </w:r>
          </w:p>
          <w:p w:rsidR="0050645C" w:rsidRPr="005E6A7B" w:rsidRDefault="0050645C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4B1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ar-SA"/>
              </w:rPr>
              <w:t>&gt; 100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ar-SA"/>
              </w:rPr>
              <w:t>-104</w:t>
            </w:r>
            <w:r w:rsidRPr="00BB64B1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ar-SA"/>
              </w:rPr>
              <w:t xml:space="preserve"> – 0 pkt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IV. SYSTEM SKANOWANIA</w:t>
            </w:r>
          </w:p>
        </w:tc>
      </w:tr>
      <w:tr w:rsidR="005E6A7B" w:rsidRPr="005E6A7B" w:rsidTr="005E6A7B">
        <w:trPr>
          <w:trHeight w:val="47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Najkrótszy czas pełnego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obrotu (360º) układu lampa rtg – detektor [s]  </w:t>
            </w:r>
            <w:r w:rsidRPr="005E6A7B">
              <w:rPr>
                <w:rFonts w:ascii="Arial" w:hAnsi="Arial" w:cs="Arial"/>
                <w:sz w:val="18"/>
                <w:szCs w:val="18"/>
              </w:rPr>
              <w:t>≤ 0,8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0,6 - 0,8 – 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0,5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Grubość najcieńszej dostępnej warstwy  z akwizycji wielowarstowej z maksymalną ilością warstw [mm]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0,63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Liczba warstw akwizycyjnych powyżej 1 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 warstwy – 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16 warstw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2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zakres badania przy ciągłym skanie spiralnym/helikalnym, bez przerwy na chłodzenie lampy [cm]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3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zakres zmian wartość współczynnika pitch min. 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≥1,5 – 1,74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≥1,75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Maksymalne, rekonstruowane pole obrazowania FOV [cm]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Możliwość rekonstrukcji diagnostycznego pola obrazowania powyżej 50 cm z zachowaniem pełnej jednorodności i dokładności gęstości jak w polu diagnostycznym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1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Matryca rekonstrukcyjna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Min. 512x512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1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Matryca prezentacyjna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Min. 1024x1024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Rozdzielczość wysokokontrastowa w płaszczyźnie x,y, mierzona w polu akwizycyjnym FOV=50 cm w punkcie 50% charakterystyki MTF.[pl/cm]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≥ 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możliwy czas badania w trybie spiralnym 120 [s]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Kolimacja wiązki zgodnie z polem skanowania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Niskodawkowy, iteracyjny algorytm rekonstrukcji bazujący na modelu z wielokrotnym przetwarzaniem tych samych danych surowych (RAW) oraz redukujący szum w obszarze obrazu, umożliwiający redukcję dawki o co najmniej 40% w relacji do standardowej metody rekonstrukcji wstecznej FBP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Rozwiązanie do redukcji promieniowania jonizującego, dedykowane do zwiększenia ochrony w trakcie badania szczególnie wrażliwych narządów np. oczu, tarczycy, piersi, itp.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V. KONSOLA OPERATORSKA</w:t>
            </w:r>
          </w:p>
        </w:tc>
      </w:tr>
      <w:tr w:rsidR="005E6A7B" w:rsidRPr="005E6A7B" w:rsidTr="005E6A7B">
        <w:trPr>
          <w:trHeight w:val="42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37.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Stanowisko operatorskie – konsola akwizycyjna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Jednomonitorowa – 0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Dwumonitorowa </w:t>
            </w:r>
            <w:r w:rsidR="00926A5B" w:rsidRPr="005E6A7B">
              <w:rPr>
                <w:rFonts w:ascii="Arial" w:hAnsi="Arial" w:cs="Arial"/>
                <w:sz w:val="18"/>
                <w:szCs w:val="18"/>
              </w:rPr>
              <w:t>–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38.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Przekątna kolorowego monitora z aktywną matrycą ciekłokrystaliczną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19 "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19 " – 0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21 " – 1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Możliwość wybrania i protokołu badania bezpośrednio przy stole pacjenta, z panelu dotykowego na gantry lub z tabletu.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9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Pojemność dysku twardego dla obrazów bez kompresji (512x512), wyrażona liczbą obrazów.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250000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9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Bezpośrednia rekonstrukcja warstw MPR bez konieczności wstępnej rekonstrukcji cienkich warstw aksjalnych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4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Archiwizacja badań pacjentów na CD-R i DVD w standardzie DICOM 3.0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4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Dwukierunkowy interkom do komunikacji głosowej z pacjentem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143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Interfejs sieciowy zgodnie z DICOM 3.0 z następującymi klasami serwisowymi:                                                               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Send/Receive                                                                           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Basic Print                                                                                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Query/ Retrieve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Storage Commitment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- Worklist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143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Integracja z oprogramowaniem PAKS szpitalnym (MEDICOM – szpital posiada licencję), koszty tylko dotyczące integracji po stronie Dostawcy urządzenia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09721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VI. OPROGRAMOWANIE KONSOLI OPERATORSKIEJ</w:t>
            </w: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46.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MIP (Maximum Intensity Projection)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47.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SSD (Surface Shaded Display)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VRT (Volume Rendering Techique)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7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Rekonstrukcje MPR (również skośne i krzywoliniowe z danych zbieranych przy dowolnym kącie gantry)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50.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Prezentacje cine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Pomiary geometryczne (długości / kątów / powierzchni / objętości)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Pomiary analityczne (pomiar poziomu gęstości, profile gęstości, analiza skanu dynamicznego)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autoSpaceDE w:val="0"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Obliczanie całkowitej dawki ekspozycyjnej (DLP lub CTDIvol), jaką uzyskał pacjent w trakcie badania i jej prezentacja na ekranie konsoli operatorskiej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28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synchronizacji startu badania spiralnego na podstawie automatycznej analizy napływu środka cieniującego w zadanej warstwie bez wykonywania wstrzyknięć testowych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Kompletny zestaw protokołów do badania wszystkich obszarów anatomicznych, z możliwością ich projektowania i zapamiętywania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Automatyczne, bez udziału operatora, ustawianie zakresu badania, dla danego pacjenta, na podstawie znaczników anatomicznych topogramu i wybranego protokołu badania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10 pkt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usuwające obraz struktury kostnej i stołu z pozostawieniem struktury naczyniowej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wirtualnej endoskopii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Sprzężenie tomografu ze wstrzykiwaczem kontrastu min kl I zgodnie z CanOpen 425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Kl.I i II – 0 pkt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Kl III – 5 pkt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Kl IV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81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sz w:val="18"/>
                <w:szCs w:val="18"/>
              </w:rPr>
              <w:t>VII. POZOSTAŁE WYMAGANIA</w:t>
            </w:r>
          </w:p>
        </w:tc>
      </w:tr>
      <w:tr w:rsidR="005E6A7B" w:rsidRPr="005E6A7B" w:rsidTr="005E6A7B">
        <w:trPr>
          <w:trHeight w:val="29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62.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Dwutłokowy wstrzykiwacz środka cieniującego zintegrowany z tomografem komputerowym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29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63.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Zestaw firmowych fantomów serwisowych do kalibracji i testów podstawowych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lastRenderedPageBreak/>
              <w:t>64.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Instrukcja obsługi aparatu TK w formie elektronicznej i papierowej oraz instrukcje obsługi urządzeń wyposażenia - w języku polskim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Dostarczyć wraz z dostawą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Moc podłączeniowa [kVA]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2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Ilość ciepła emitowana do pomieszczenia badań w trakcie skanowania [kW]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9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Zakres temperatur pracy systemu [stopnie C]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Wykonanie testów akceptacyjnych po zainstalowaniu urządzenia – </w:t>
            </w:r>
            <w:r w:rsidRPr="005E6A7B">
              <w:rPr>
                <w:rFonts w:ascii="Arial" w:hAnsi="Arial" w:cs="Arial"/>
                <w:bCs/>
                <w:sz w:val="18"/>
                <w:szCs w:val="18"/>
              </w:rPr>
              <w:t>zawarte w cenie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Wykonawca dostarczy, zainstaluje system do archiwizacji i optymalizacji dawki promieniowania (wraz ze szkoleniem personelu Zamawiającego).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z licencjami bezterminowymi do monitorowania i raportowania poziomu dawek z tomografu komputerowego z możliwością podłączenia aparatu RTG, pozwalające na spełnienie dyrektywy EURATOM 2013/59 z 5 grudnia 2013 opisane w punktach poniżej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analizę statystyczną poziomu dawek – automatyczne powiadamianie w przypadku przekroczenia poziomu dopuszczalnych dawek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monitorowania i optymalizacji kontrastu umożliwiającą gromadzenie informacji dotyczącej zużycia kontrastu w badaniu oraz tworzące automatyczne raporty dotyczące np. skumulowanej dawki jodu dla danego pacjenta.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porównywanie dawek z tomografu z dawkami dla określonej populacji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przeglądanie historii dawki w rozbiciu na: pacjentów/regiony anatomiczne/rodzaje badań RTG/osobę przeprowadzającą badanie/zmiany pracy zespołu pracowni TK (np. poranna, popołudniowa, wieczorna itd.)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ostrzeżenie o przekroczeniu progu zdefiniowanej dawki, które jest:</w:t>
            </w:r>
          </w:p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a) wysyłane w czasie rzeczywistym w trakcie badania na adresy poczty elektronicznej wpisanej na listę mailingową oprogramowania.</w:t>
            </w:r>
          </w:p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b) możliwość wyjaśnienia przekroczenia dawki w formie komentarza również zapisywanego w archiwum.</w:t>
            </w:r>
          </w:p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c) zaawansowany system ostrzegania w podziale na segmenty według wieku/BMI/ itd. i możliwość korzystania z międzynarodowego leksykonu (np. RadLexicon), aby otrzymać znormalizowaną informację potrzebną do porównań.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wyliczenie SSDE (ang. Size-Specific Dose Estimate – szacunkowa wielkość dawki zależna od rozmiaru).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wyliczenie przesunięcia poza izocentrum, które umożliwia weryfikację prawidłowości ułożenia pacjenta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wyliczenie wartości modulacji mA. Modulacja mA wyświetla tłumienie natężenia prądu na całej długości skanowania. Wyliczenie powinno zawierć średnią mA, minimalną mA i maksymalną wartość mA w trakcie wybranej serii.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79.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automatyczne sporządzanie raportów tygodniowych/ miesięcznych/ kwartalnych ze zgromadzonych danych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oszacowania dawki narządowej dla pacjentów pediatrycznych i dorosłych wraz z automatycznym wykrywaniem skanowanego obszaru i obliczeniem dawki przyjmowanej przez narządy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oszacowania dawki dla płodu  przypadku badań kobiet w ciąży.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VIII. SZKOLENIA</w:t>
            </w: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Szkolenia w miejscu + min. 2 dni x 5 godzin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5AAB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IX. </w:t>
            </w:r>
            <w:r w:rsidRPr="00B1656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GWARANCJA I SERWIS POGWARANCYJNY</w:t>
            </w:r>
          </w:p>
        </w:tc>
      </w:tr>
      <w:tr w:rsidR="005E6A7B" w:rsidRPr="005E6A7B" w:rsidTr="00B16566">
        <w:trPr>
          <w:trHeight w:val="52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pStyle w:val="Style9"/>
              <w:widowControl/>
              <w:spacing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Okres gwarancji od dnia podpisania protokołu zdawczo odbiorczego.</w:t>
            </w:r>
          </w:p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Gwarancja bezwarunkowa, bez limitu skanów i innych ograniczeń, co najmniej 24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Autoryzowany serwis gwarancyjny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Min. 10 – letni okres gwarantowania dostępności części zamiennych dla TK oraz min. 5 – letni dla pozostałych urządzeń i stanowisk pracy zaoferowanych w zestawie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ind w:left="211" w:right="2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ind w:left="211" w:right="2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Wszystkie wymagane przez producenta oferowanego aparatu przeglądy w okresie gwarancji (podać ile) – </w:t>
            </w:r>
            <w:r w:rsidRPr="005E6A7B">
              <w:rPr>
                <w:rFonts w:ascii="Arial" w:hAnsi="Arial" w:cs="Arial"/>
                <w:bCs/>
                <w:sz w:val="18"/>
                <w:szCs w:val="18"/>
              </w:rPr>
              <w:t>zawarte w cenie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Czas naprawy gwarancyjnej [dni robocze: od poniedziałku do piątku z wyłączeniem dni ustawowo wolnych pracy]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Max. 6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Czas reakcji serwisu od zgłoszenia do podjęcia naprawy [godziny w dni robocze :od poniedziałku do piątku z wyłączeniem dni ustawowo wolnych pracy]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Max. 24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5AAB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ab/>
            </w:r>
            <w:r w:rsidRPr="00B165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  <w:lang w:eastAsia="ar-SA"/>
              </w:rPr>
              <w:t>X. KONSOLA LEKARSKA DWUMONITOROWA</w:t>
            </w: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Stacja przeglądowa 2D i 3D (MPR i VRT) z oprogramowaniem Osirix lub równoważnym tzn posiadającym co najmniej te same funkcjonalności użytkowe. –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lokalna baza obrazów medycznych: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baza danych oparta o „silnik” SQLite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zarządzanie dowolną ilością obrazów medycznych (przechowywanych lokalnie i zdalnie)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udostępnianie lokalnej bazy danych w sieci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import plików z dowolnego nośnika (CD, DVD, USB, sieć, serwery PACS)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eksport i zapis plików na dowolny nośnik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anonimizacja danych - usuwanie danych pacjenta z plików DICOM (np. do celów pokazowych)</w:t>
            </w:r>
          </w:p>
          <w:p w:rsidR="005E6A7B" w:rsidRPr="005E6A7B" w:rsidRDefault="005E6A7B" w:rsidP="00B650E6">
            <w:pPr>
              <w:pStyle w:val="Standard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° edycja metadanych - edycja danych zapisanych w plikach DICOM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91.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° Intuicyjny interfejs użytkownika – 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konfigurowalny pasek narzędzi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obsługa obrazów kluczowych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wsparcie dla myszy wieloklawiszowych i gestów np. Apple Magic Trackpad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obsługa tablic odwzorowania barwy (LUT/CLUT) i gęstości (WL/WH)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obsługa filtrów splotowych (3x3, 5x5)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łączenie badań róznych obszarów (image registration)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przebudowa przekrojów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dowolna konfiguracja, zapisywanie i wczytywanie przestrzeni roboczych (Workspaces), np. dla różnego typu badań</w:t>
            </w:r>
          </w:p>
          <w:p w:rsidR="005E6A7B" w:rsidRPr="005E6A7B" w:rsidRDefault="005E6A7B" w:rsidP="007D5A0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wygodna praca na wielu monitorach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Rekonstrukcja 3D: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rekonstrukcja objętościowa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rekonstrukcja powierzchni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rekonstrukcja wielopłaszczyznowa (MPR)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zakrzywiona rekonstrukcja wielopłaszczyznowa (Curved MPR)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maksymalna/minimalna intensywność projekcji (MIP)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wirtualna endoskopia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tworzenie wycinków i przekrojów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separacja tkanek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oznaczanie różnymi barwami i przezroczystością organów i tkanek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przelot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eksport do różnych formatów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Architektura Plug-ins: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możliwość implementacji rozwiązań dostarczanych przez niezależnych producentów rozszerzających funkcje OsiriX’a (moduły dodatkowe, np. automatyzacja oceny zwapnienia naczyń wieńcowych, automatyzacja badań mammograficznych, ocena BI-RADS/PI-RADS,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angiografia, obsługa dodatkowych formatów zapisu obrazów medycznych, etc)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Inne: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optymalizacja dla procesorów wielordzeniowych, wielowątkowość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odczyt asynchroniczny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wsparcie OpenGL dla podglądu 2D i 3D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akceleracja GPU dla zadań obliczeniowych, wsparcie mapowania 3D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architektura wtyczek rozszerzających możliwości oprogramowania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wsparcie „hanging protocol” - aranżacja okien programu dla najlepszej oceny istotnych elementów badania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Dwa monitory medyczne przeznaczone do wyświetlania badań RTG/CT/MR o przekątnej nie mniej niż 21 cali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Rozdzielczość nie mniejsza niż 5120 na 2880 z możliwością wyświetlania miliarda kolorów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Jasność 500 nitów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984B5D" w:rsidRPr="005E6A7B" w:rsidRDefault="00984B5D" w:rsidP="002278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984B5D" w:rsidRPr="005E6A7B" w:rsidRDefault="00984B5D" w:rsidP="002278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E6A7B" w:rsidRPr="005E6A7B" w:rsidRDefault="005E6A7B" w:rsidP="005E6A7B">
      <w:pPr>
        <w:pStyle w:val="normaltableau"/>
        <w:suppressAutoHyphens/>
        <w:spacing w:before="0" w:after="0" w:line="360" w:lineRule="auto"/>
        <w:ind w:left="-284" w:right="-284"/>
        <w:rPr>
          <w:rFonts w:ascii="Arial" w:hAnsi="Arial" w:cs="Arial"/>
          <w:sz w:val="18"/>
          <w:szCs w:val="18"/>
          <w:lang w:val="pl-PL" w:eastAsia="ar-SA"/>
        </w:rPr>
      </w:pPr>
      <w:r w:rsidRPr="005E6A7B">
        <w:rPr>
          <w:rFonts w:ascii="Arial" w:hAnsi="Arial" w:cs="Arial"/>
          <w:sz w:val="18"/>
          <w:szCs w:val="18"/>
          <w:lang w:val="pl-PL" w:eastAsia="ar-SA"/>
        </w:rPr>
        <w:t>Oświadczam, że oferowany sprzęt jest kompletny i po zainstalowaniu gotowy do eksploatacji, bez żadnych dodatkowych zakupów i inwestycji (z wyjątkiem materiałów eksploatacyjnych).</w:t>
      </w:r>
    </w:p>
    <w:p w:rsidR="005E6A7B" w:rsidRPr="005E6A7B" w:rsidRDefault="005E6A7B" w:rsidP="005E6A7B">
      <w:pPr>
        <w:pStyle w:val="normaltableau"/>
        <w:suppressAutoHyphens/>
        <w:spacing w:before="0" w:after="0" w:line="360" w:lineRule="auto"/>
        <w:ind w:left="-284" w:right="-284"/>
        <w:rPr>
          <w:rFonts w:ascii="Arial" w:hAnsi="Arial" w:cs="Arial"/>
          <w:strike/>
          <w:sz w:val="18"/>
          <w:szCs w:val="18"/>
          <w:lang w:val="pl-PL" w:eastAsia="ar-SA"/>
        </w:rPr>
      </w:pPr>
    </w:p>
    <w:p w:rsidR="005E6A7B" w:rsidRPr="005E6A7B" w:rsidRDefault="005E6A7B" w:rsidP="005E6A7B">
      <w:pPr>
        <w:pStyle w:val="normaltableau"/>
        <w:suppressAutoHyphens/>
        <w:spacing w:before="0" w:after="0" w:line="360" w:lineRule="auto"/>
        <w:ind w:left="-284" w:right="-284"/>
        <w:rPr>
          <w:rFonts w:ascii="Arial" w:hAnsi="Arial" w:cs="Arial"/>
          <w:sz w:val="18"/>
          <w:szCs w:val="18"/>
          <w:lang w:val="pl-PL" w:eastAsia="ar-SA"/>
        </w:rPr>
      </w:pPr>
      <w:r w:rsidRPr="005E6A7B">
        <w:rPr>
          <w:rFonts w:ascii="Arial" w:hAnsi="Arial" w:cs="Arial"/>
          <w:sz w:val="18"/>
          <w:szCs w:val="18"/>
          <w:lang w:val="pl-PL" w:eastAsia="ar-SA"/>
        </w:rPr>
        <w:t>Wykonawca w cenie oferty zapewnia: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serwis w okresie gwarancji,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przedłużenie gwarancji o każdą konieczność zatrzymania przedmiotu zamówienia w serwisie ponad 24 godz.,</w:t>
      </w:r>
    </w:p>
    <w:p w:rsidR="005E6A7B" w:rsidRPr="005E6A7B" w:rsidRDefault="005E6A7B" w:rsidP="005E6A7B">
      <w:pPr>
        <w:pStyle w:val="normaltableau"/>
        <w:numPr>
          <w:ilvl w:val="0"/>
          <w:numId w:val="8"/>
        </w:numPr>
        <w:tabs>
          <w:tab w:val="clear" w:pos="720"/>
          <w:tab w:val="num" w:pos="-426"/>
        </w:tabs>
        <w:suppressAutoHyphens/>
        <w:spacing w:before="0" w:after="0" w:line="360" w:lineRule="auto"/>
        <w:ind w:left="-284" w:right="-284" w:firstLine="0"/>
        <w:rPr>
          <w:rFonts w:ascii="Arial" w:hAnsi="Arial" w:cs="Arial"/>
          <w:sz w:val="18"/>
          <w:szCs w:val="18"/>
          <w:lang w:val="pl-PL" w:eastAsia="ar-SA"/>
        </w:rPr>
      </w:pPr>
      <w:r w:rsidRPr="005E6A7B">
        <w:rPr>
          <w:rFonts w:ascii="Arial" w:hAnsi="Arial" w:cs="Arial"/>
          <w:sz w:val="18"/>
          <w:szCs w:val="18"/>
          <w:lang w:val="pl-PL" w:eastAsia="ar-SA"/>
        </w:rPr>
        <w:t>w okresie gwarancji przeglądy gwarancyjne wymagane i zalecane przez producenta oferowanego przedmiotu zamówienia,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przeprowadzenie szkolenia personelu medycznego w zakresie obsługi w siedzibie Zamawiającego,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 xml:space="preserve">instrukcję obsługi urządzenia w języku polskim wraz z dostawą sprzętu. </w:t>
      </w:r>
    </w:p>
    <w:p w:rsidR="005E6A7B" w:rsidRPr="005E6A7B" w:rsidRDefault="005E6A7B" w:rsidP="005E6A7B">
      <w:pPr>
        <w:spacing w:line="360" w:lineRule="auto"/>
        <w:ind w:left="-284" w:right="-284"/>
        <w:jc w:val="both"/>
        <w:rPr>
          <w:rFonts w:ascii="Arial" w:hAnsi="Arial" w:cs="Arial"/>
          <w:strike/>
          <w:sz w:val="18"/>
          <w:szCs w:val="18"/>
        </w:rPr>
      </w:pPr>
    </w:p>
    <w:p w:rsidR="005E6A7B" w:rsidRPr="005E6A7B" w:rsidRDefault="005E6A7B" w:rsidP="005E6A7B">
      <w:pPr>
        <w:pStyle w:val="Tekstpodstawowy"/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Wykonawca nie ma prawa zakładać kodów serwisowych/administracyjnych uniemożliwiających serwisowanie urządzenia po okresie gwarancji serwisowi innemu niż autoryzowany.</w:t>
      </w:r>
    </w:p>
    <w:p w:rsidR="005E6A7B" w:rsidRPr="005E6A7B" w:rsidRDefault="005E6A7B" w:rsidP="005E6A7B">
      <w:pPr>
        <w:pStyle w:val="Tekstpodstawowy"/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 xml:space="preserve">W przypadku założonych kodów serwisowych Wykonawca zobowiązany jest je złożyć w zalakowanej kopercie w dniu dostawy sprzętu. </w:t>
      </w:r>
    </w:p>
    <w:p w:rsidR="005E6A7B" w:rsidRPr="005E6A7B" w:rsidRDefault="005E6A7B" w:rsidP="005E6A7B">
      <w:pPr>
        <w:ind w:left="-284" w:right="-284"/>
        <w:jc w:val="both"/>
        <w:rPr>
          <w:rFonts w:ascii="Arial" w:hAnsi="Arial" w:cs="Arial"/>
          <w:color w:val="0070C0"/>
          <w:sz w:val="18"/>
          <w:szCs w:val="18"/>
        </w:rPr>
      </w:pPr>
    </w:p>
    <w:p w:rsidR="005E6A7B" w:rsidRPr="005E6A7B" w:rsidRDefault="005E6A7B" w:rsidP="005E6A7B">
      <w:pPr>
        <w:ind w:left="-284" w:right="-284"/>
        <w:jc w:val="both"/>
        <w:rPr>
          <w:rFonts w:ascii="Arial" w:hAnsi="Arial" w:cs="Arial"/>
          <w:color w:val="0070C0"/>
          <w:sz w:val="18"/>
          <w:szCs w:val="18"/>
        </w:rPr>
      </w:pPr>
    </w:p>
    <w:p w:rsidR="005E6A7B" w:rsidRPr="005E6A7B" w:rsidRDefault="005E6A7B" w:rsidP="005E6A7B">
      <w:pPr>
        <w:keepLines/>
        <w:ind w:left="-284" w:right="-284"/>
        <w:textAlignment w:val="baseline"/>
        <w:rPr>
          <w:rFonts w:ascii="Arial" w:hAnsi="Arial" w:cs="Arial"/>
          <w:sz w:val="18"/>
          <w:szCs w:val="18"/>
        </w:rPr>
      </w:pPr>
      <w:bookmarkStart w:id="1" w:name="_PictureBullets"/>
      <w:r w:rsidRPr="005E6A7B">
        <w:rPr>
          <w:rFonts w:ascii="Arial" w:hAnsi="Arial" w:cs="Arial"/>
          <w:sz w:val="18"/>
          <w:szCs w:val="18"/>
        </w:rPr>
        <w:t>........................ dnia …….........                                                                                                                  ………………………………………………………………………</w:t>
      </w:r>
    </w:p>
    <w:p w:rsidR="005E6A7B" w:rsidRPr="005E6A7B" w:rsidRDefault="005E6A7B" w:rsidP="005E6A7B">
      <w:pPr>
        <w:keepLines/>
        <w:ind w:left="7938" w:right="822"/>
        <w:jc w:val="center"/>
        <w:textAlignment w:val="baseline"/>
        <w:rPr>
          <w:rFonts w:ascii="Arial" w:hAnsi="Arial" w:cs="Arial"/>
          <w:sz w:val="16"/>
          <w:szCs w:val="16"/>
        </w:rPr>
      </w:pPr>
      <w:r w:rsidRPr="005E6A7B">
        <w:rPr>
          <w:rFonts w:ascii="Arial" w:hAnsi="Arial" w:cs="Arial"/>
          <w:sz w:val="16"/>
          <w:szCs w:val="16"/>
        </w:rPr>
        <w:t>podpis osoby/osób wskazanych w dokumencie,</w:t>
      </w:r>
    </w:p>
    <w:p w:rsidR="005E6A7B" w:rsidRPr="005E6A7B" w:rsidRDefault="005E6A7B" w:rsidP="005E6A7B">
      <w:pPr>
        <w:keepLines/>
        <w:ind w:left="7938" w:right="822"/>
        <w:jc w:val="center"/>
        <w:textAlignment w:val="baseline"/>
        <w:rPr>
          <w:rFonts w:ascii="Arial" w:hAnsi="Arial" w:cs="Arial"/>
          <w:sz w:val="16"/>
          <w:szCs w:val="16"/>
        </w:rPr>
      </w:pPr>
      <w:r w:rsidRPr="005E6A7B">
        <w:rPr>
          <w:rFonts w:ascii="Arial" w:hAnsi="Arial" w:cs="Arial"/>
          <w:sz w:val="16"/>
          <w:szCs w:val="16"/>
        </w:rPr>
        <w:t>uprawnionej/uprawnionych do występowania w obrocie prawnym,</w:t>
      </w:r>
    </w:p>
    <w:p w:rsidR="005E6A7B" w:rsidRPr="005E6A7B" w:rsidRDefault="005E6A7B" w:rsidP="005E6A7B">
      <w:pPr>
        <w:keepNext/>
        <w:keepLines/>
        <w:ind w:left="7938" w:right="822"/>
        <w:rPr>
          <w:rFonts w:ascii="Arial" w:hAnsi="Arial" w:cs="Arial"/>
          <w:sz w:val="16"/>
          <w:szCs w:val="16"/>
        </w:rPr>
      </w:pPr>
      <w:r w:rsidRPr="005E6A7B">
        <w:rPr>
          <w:rFonts w:ascii="Arial" w:hAnsi="Arial" w:cs="Arial"/>
          <w:sz w:val="16"/>
          <w:szCs w:val="16"/>
        </w:rPr>
        <w:t>reprezentowania Wykonawcy i składania oświadczeń woli w jego imieniu</w:t>
      </w:r>
      <w:r w:rsidRPr="005E6A7B">
        <w:rPr>
          <w:rFonts w:ascii="Arial" w:hAnsi="Arial" w:cs="Arial"/>
          <w:noProof/>
          <w:vanish/>
          <w:sz w:val="16"/>
          <w:szCs w:val="16"/>
        </w:rPr>
        <w:t xml:space="preserve"> </w:t>
      </w:r>
      <w:r w:rsidRPr="005E6A7B">
        <w:rPr>
          <w:rFonts w:ascii="Arial" w:hAnsi="Arial" w:cs="Arial"/>
          <w:noProof/>
          <w:vanish/>
          <w:sz w:val="16"/>
          <w:szCs w:val="16"/>
        </w:rPr>
        <w:drawing>
          <wp:inline distT="0" distB="0" distL="0" distR="0" wp14:anchorId="78128664" wp14:editId="79BA99F8">
            <wp:extent cx="66675" cy="114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7B" w:rsidRPr="005E6A7B" w:rsidRDefault="005E6A7B" w:rsidP="005E6A7B">
      <w:pPr>
        <w:keepNext/>
        <w:keepLines/>
        <w:ind w:left="4678" w:right="-726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noProof/>
          <w:vanish/>
          <w:sz w:val="18"/>
          <w:szCs w:val="18"/>
        </w:rPr>
        <w:drawing>
          <wp:inline distT="0" distB="0" distL="0" distR="0" wp14:anchorId="06B1B1D0" wp14:editId="69FF2FA2">
            <wp:extent cx="66675" cy="114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E6A7B" w:rsidRPr="005E6A7B" w:rsidRDefault="005E6A7B" w:rsidP="005E6A7B">
      <w:pPr>
        <w:rPr>
          <w:rFonts w:ascii="Arial" w:hAnsi="Arial" w:cs="Arial"/>
          <w:sz w:val="18"/>
          <w:szCs w:val="18"/>
        </w:rPr>
      </w:pPr>
    </w:p>
    <w:p w:rsidR="00984B5D" w:rsidRPr="005E6A7B" w:rsidRDefault="00984B5D" w:rsidP="002278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E3BAD" w:rsidRPr="005E6A7B" w:rsidRDefault="005E3BAD" w:rsidP="00227862">
      <w:pPr>
        <w:rPr>
          <w:rFonts w:ascii="Arial" w:hAnsi="Arial" w:cs="Arial"/>
          <w:sz w:val="18"/>
          <w:szCs w:val="18"/>
        </w:rPr>
      </w:pPr>
    </w:p>
    <w:p w:rsidR="005E6A7B" w:rsidRPr="005E6A7B" w:rsidRDefault="005E6A7B" w:rsidP="00227862">
      <w:pPr>
        <w:rPr>
          <w:rFonts w:ascii="Arial" w:hAnsi="Arial" w:cs="Arial"/>
          <w:sz w:val="18"/>
          <w:szCs w:val="18"/>
        </w:rPr>
      </w:pPr>
    </w:p>
    <w:p w:rsidR="005E6A7B" w:rsidRPr="005E6A7B" w:rsidRDefault="005E6A7B" w:rsidP="00227862">
      <w:pPr>
        <w:rPr>
          <w:rFonts w:ascii="Arial" w:hAnsi="Arial" w:cs="Arial"/>
          <w:sz w:val="18"/>
          <w:szCs w:val="18"/>
        </w:rPr>
      </w:pPr>
    </w:p>
    <w:p w:rsidR="00991C20" w:rsidRPr="005E6A7B" w:rsidRDefault="00991C20" w:rsidP="00227862">
      <w:pPr>
        <w:rPr>
          <w:rFonts w:ascii="Arial" w:hAnsi="Arial" w:cs="Arial"/>
          <w:sz w:val="18"/>
          <w:szCs w:val="18"/>
        </w:rPr>
      </w:pPr>
    </w:p>
    <w:sectPr w:rsidR="00991C20" w:rsidRPr="005E6A7B" w:rsidSect="00B650E6">
      <w:pgSz w:w="16840" w:h="11900" w:orient="landscape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D5" w:rsidRDefault="00DB3DD5" w:rsidP="004A72EF">
      <w:r>
        <w:separator/>
      </w:r>
    </w:p>
  </w:endnote>
  <w:endnote w:type="continuationSeparator" w:id="0">
    <w:p w:rsidR="00DB3DD5" w:rsidRDefault="00DB3DD5" w:rsidP="004A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D5" w:rsidRDefault="00DB3DD5" w:rsidP="004A72EF">
      <w:r>
        <w:separator/>
      </w:r>
    </w:p>
  </w:footnote>
  <w:footnote w:type="continuationSeparator" w:id="0">
    <w:p w:rsidR="00DB3DD5" w:rsidRDefault="00DB3DD5" w:rsidP="004A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4B02D4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" w15:restartNumberingAfterBreak="0">
    <w:nsid w:val="040A34D5"/>
    <w:multiLevelType w:val="multilevel"/>
    <w:tmpl w:val="06F8D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F2F5B"/>
    <w:multiLevelType w:val="hybridMultilevel"/>
    <w:tmpl w:val="0D609266"/>
    <w:lvl w:ilvl="0" w:tplc="1A2669C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C2CB7"/>
    <w:multiLevelType w:val="multilevel"/>
    <w:tmpl w:val="6C686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01500"/>
    <w:multiLevelType w:val="multilevel"/>
    <w:tmpl w:val="87D8F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86084"/>
    <w:multiLevelType w:val="multilevel"/>
    <w:tmpl w:val="F636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00291"/>
    <w:multiLevelType w:val="multilevel"/>
    <w:tmpl w:val="33C8C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D338F"/>
    <w:multiLevelType w:val="multilevel"/>
    <w:tmpl w:val="68420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5D"/>
    <w:rsid w:val="00081C34"/>
    <w:rsid w:val="0009721D"/>
    <w:rsid w:val="001A1762"/>
    <w:rsid w:val="00227862"/>
    <w:rsid w:val="00455BAE"/>
    <w:rsid w:val="004A72EF"/>
    <w:rsid w:val="0050645C"/>
    <w:rsid w:val="005B2D97"/>
    <w:rsid w:val="005E3BAD"/>
    <w:rsid w:val="005E6A7B"/>
    <w:rsid w:val="00626436"/>
    <w:rsid w:val="0069086B"/>
    <w:rsid w:val="007026AF"/>
    <w:rsid w:val="00746415"/>
    <w:rsid w:val="0076161E"/>
    <w:rsid w:val="007D5A01"/>
    <w:rsid w:val="00823D8F"/>
    <w:rsid w:val="00833E8C"/>
    <w:rsid w:val="008A279D"/>
    <w:rsid w:val="00926A5B"/>
    <w:rsid w:val="00984B5D"/>
    <w:rsid w:val="00991C20"/>
    <w:rsid w:val="009C7781"/>
    <w:rsid w:val="00A63FF5"/>
    <w:rsid w:val="00AB3B78"/>
    <w:rsid w:val="00B15AAB"/>
    <w:rsid w:val="00B16566"/>
    <w:rsid w:val="00B650E6"/>
    <w:rsid w:val="00BF0268"/>
    <w:rsid w:val="00C86057"/>
    <w:rsid w:val="00C938AB"/>
    <w:rsid w:val="00D47954"/>
    <w:rsid w:val="00D60230"/>
    <w:rsid w:val="00D7652F"/>
    <w:rsid w:val="00DB3DD5"/>
    <w:rsid w:val="00E76A58"/>
    <w:rsid w:val="00E860A0"/>
    <w:rsid w:val="00E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B5FD1-1B96-47F9-B400-BA661C2D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B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4B5D"/>
    <w:pPr>
      <w:keepNext/>
      <w:suppressAutoHyphens/>
      <w:snapToGrid w:val="0"/>
      <w:jc w:val="center"/>
      <w:outlineLvl w:val="0"/>
    </w:pPr>
    <w:rPr>
      <w:rFonts w:ascii="Arial Narrow" w:hAnsi="Arial Narrow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4B5D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Tytu">
    <w:name w:val="Title"/>
    <w:basedOn w:val="Normalny"/>
    <w:link w:val="TytuZnak"/>
    <w:qFormat/>
    <w:rsid w:val="00984B5D"/>
    <w:pPr>
      <w:shd w:val="clear" w:color="auto" w:fill="FFFFFF"/>
      <w:suppressAutoHyphens/>
      <w:spacing w:line="254" w:lineRule="exact"/>
      <w:ind w:right="883"/>
      <w:jc w:val="center"/>
    </w:pPr>
    <w:rPr>
      <w:rFonts w:ascii="Arial Narrow" w:hAnsi="Arial Narrow"/>
      <w:b/>
      <w:bCs/>
      <w:color w:val="000000"/>
      <w:sz w:val="26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984B5D"/>
    <w:rPr>
      <w:rFonts w:ascii="Arial Narrow" w:eastAsia="Times New Roman" w:hAnsi="Arial Narrow" w:cs="Times New Roman"/>
      <w:b/>
      <w:bCs/>
      <w:color w:val="000000"/>
      <w:sz w:val="26"/>
      <w:szCs w:val="28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984B5D"/>
    <w:pPr>
      <w:widowControl w:val="0"/>
      <w:suppressLineNumbers/>
      <w:suppressAutoHyphens/>
    </w:pPr>
    <w:rPr>
      <w:lang w:eastAsia="ar-SA"/>
    </w:rPr>
  </w:style>
  <w:style w:type="paragraph" w:customStyle="1" w:styleId="AbsatzTableFormat">
    <w:name w:val="AbsatzTableFormat"/>
    <w:basedOn w:val="Normalny"/>
    <w:rsid w:val="00984B5D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paragraph" w:customStyle="1" w:styleId="Style9">
    <w:name w:val="Style9"/>
    <w:basedOn w:val="Normalny"/>
    <w:rsid w:val="00984B5D"/>
    <w:pPr>
      <w:widowControl w:val="0"/>
      <w:autoSpaceDE w:val="0"/>
      <w:autoSpaceDN w:val="0"/>
      <w:spacing w:line="184" w:lineRule="exact"/>
    </w:pPr>
    <w:rPr>
      <w:lang w:val="en-US"/>
    </w:rPr>
  </w:style>
  <w:style w:type="paragraph" w:customStyle="1" w:styleId="Standard">
    <w:name w:val="Standard"/>
    <w:rsid w:val="00984B5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4A7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2E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2EF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E6A7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6A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5E6A7B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344E-F373-41E7-8569-831607DD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KCZ</Company>
  <LinksUpToDate>false</LinksUpToDate>
  <CharactersWithSpaces>15742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tjanyk_adm</dc:creator>
  <cp:lastModifiedBy>Agnieszka </cp:lastModifiedBy>
  <cp:revision>4</cp:revision>
  <dcterms:created xsi:type="dcterms:W3CDTF">2019-08-19T22:35:00Z</dcterms:created>
  <dcterms:modified xsi:type="dcterms:W3CDTF">2019-08-20T12:44:00Z</dcterms:modified>
</cp:coreProperties>
</file>